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3ACCD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万博科技职业学院东校区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年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春季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学生公寓床采购项目招标文件</w:t>
      </w:r>
    </w:p>
    <w:bookmarkEnd w:id="0"/>
    <w:p w14:paraId="34B3CBB4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一、项目概况  </w:t>
      </w:r>
    </w:p>
    <w:p w14:paraId="31A09A5D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（一）项目基本信息  </w:t>
      </w:r>
    </w:p>
    <w:p w14:paraId="249A3E9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万博科技职业学院东校区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季</w:t>
      </w:r>
      <w:r>
        <w:rPr>
          <w:rFonts w:hint="eastAsia" w:ascii="宋体" w:hAnsi="宋体" w:eastAsia="宋体" w:cs="宋体"/>
          <w:sz w:val="28"/>
          <w:szCs w:val="28"/>
        </w:rPr>
        <w:t>学生公寓床采购项目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</w:p>
    <w:p w14:paraId="23DA52B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招标人：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万博科技职业学院  </w:t>
      </w:r>
    </w:p>
    <w:p w14:paraId="4692B254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采购内容：为满足学院2026年春季学生住宿条件提升需求，本次采购学生公寓床全套配套组件（含床架、床板、护栏、梯子等核心部件），所有组件需符合国家校园家具安全标准，具体规格参数、材质要求及工艺标准详见本文件"技术要求"章节。本次采购将用于学院学生公寓楼的床铺更新改造项目。  </w:t>
      </w:r>
    </w:p>
    <w:p w14:paraId="38760E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560" w:firstLineChars="200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项目预算：本项目采用分房型限价模式，其中6人间单套配置报价上限为12500元/间（含6套公寓床及全套配件），4人间单套配置报价上限为9000元/间（含4套公寓床及全套配件）；所有报价均包含产品生产、运输、安装、税费及五年质保等全部费用，超过上述限价的投标文件将被视为无效投标。  </w:t>
      </w:r>
    </w:p>
    <w:p w14:paraId="566C54B7">
      <w:p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交货地点：万博科技职业学院东校区指定学生公寓区域，投标人需配合学院后勤管理处完成现场卸货及安装场地确认。  </w:t>
      </w:r>
    </w:p>
    <w:p w14:paraId="0DE317D7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交货及安装周期：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2026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日前需完成全部货物的工厂生产、运输到院、现场安装、调试及竣工验收工作，其中安装施工需避开学生上课及休息时间，具体施工时段由学院后勤处统一安排。  </w:t>
      </w:r>
    </w:p>
    <w:p w14:paraId="62D6ACBB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（二）投标人资格要求  </w:t>
      </w:r>
    </w:p>
    <w:p w14:paraId="2C831548">
      <w:p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 具备合法独立法人资格，持有有效营业执照（经营范围需明确包含"家具制造"或"家具销售"类目）；</w:t>
      </w:r>
    </w:p>
    <w:p w14:paraId="11A6A8AE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拥有履行合同所需的专业生产设备；  </w:t>
      </w:r>
    </w:p>
    <w:p w14:paraId="60093863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参加本次采购活动前三年内，在经营活动中无重大违法记录，且未被列入失信被执行人名单；  </w:t>
      </w:r>
    </w:p>
    <w:p w14:paraId="713CCD91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4. 本项目不接受联合体投标，亦不允许转包或违法分包。  </w:t>
      </w:r>
    </w:p>
    <w:p w14:paraId="37C1D66F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（三）招标文件的获取  </w:t>
      </w:r>
    </w:p>
    <w:p w14:paraId="33E569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获取时间：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日（每日9:00-17:00，节假日除外）</w:t>
      </w:r>
    </w:p>
    <w:p w14:paraId="77DF6830">
      <w:p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获取方式：登录万博科技职业学院官网采购公告栏下载电子版招标文件，或前往学校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学校办公室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领取纸质文件（领取时需提供单位介绍信及经办人身份证复印件）；  </w:t>
      </w:r>
    </w:p>
    <w:p w14:paraId="5C80F9F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招标文件售价：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免费  </w:t>
      </w:r>
    </w:p>
    <w:p w14:paraId="2593DED6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（四）投标文件的递交  </w:t>
      </w:r>
    </w:p>
    <w:p w14:paraId="3A963D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递交截止时间：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日17:00（以招标人实际收到投标文件时间为准）</w:t>
      </w:r>
    </w:p>
    <w:p w14:paraId="5DBDD229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递交地点：万博科技职业学院东校区三创学院办公室（接收人：阮校长，联系电话：18919679289）  </w:t>
      </w:r>
    </w:p>
    <w:p w14:paraId="36D32896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投标文件要求：正本1份、副本1份，需采用密封包装（密封袋标注"投标文件"，外层密封袋标注项目名称、编号及投标人全称），并在封口处加盖单位公章；逾期送达、未按要求密封或未完整提供资质文件的投标文件将被视为无效投标。  </w:t>
      </w:r>
    </w:p>
    <w:p w14:paraId="0AF69DE0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（五）开标时间及地点  </w:t>
      </w:r>
    </w:p>
    <w:p w14:paraId="5E0D270B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开标时间：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2026年1月24日9:30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4ACA9B5C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开标地点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万博科技职业学院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东校区智慧大厦101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会议室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 xml:space="preserve">  </w:t>
      </w:r>
    </w:p>
    <w:p w14:paraId="77F1D890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特别说明：投标人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无需出席开标仪式  </w:t>
      </w:r>
    </w:p>
    <w:p w14:paraId="7A7DD345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（六）联系方式  </w:t>
      </w:r>
    </w:p>
    <w:p w14:paraId="7273DD9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leftChars="0" w:right="0" w:rightChars="0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联系人：阮校长  </w:t>
      </w:r>
    </w:p>
    <w:p w14:paraId="62AA2E9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leftChars="0" w:right="0" w:rightChars="0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联系电话：18919679289</w:t>
      </w:r>
    </w:p>
    <w:p w14:paraId="4D3C9E77"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联系地址：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万博科技职业学院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东校区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三创学院办公室</w:t>
      </w:r>
    </w:p>
    <w:p w14:paraId="54E1E0DB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二、技术要求  </w:t>
      </w:r>
    </w:p>
    <w:p w14:paraId="4E19E7E8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（一）公寓床核心参数  </w:t>
      </w:r>
    </w:p>
    <w:p w14:paraId="4B4A0A54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床架：采用优质Q235冷轧钢板制作，厚度不小于1.2mm（实测厚度需提供第三方检测报告）；表面经脱脂→酸洗→磷化→静电喷塑（环氧树脂粉末）处理，涂层厚度≥60μm，具备良好的防锈耐腐蚀性能（耐盐雾测试≥48小时无锈蚀），符合《金属家具通用技术条件》（GB/T 3325-2024）中5.2.1条款要求；  </w:t>
      </w:r>
    </w:p>
    <w:p w14:paraId="07FD6971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床板：采用杨木芯多层实木板，厚度不小于18mm（每层单板厚度3-4mm，层数≥5层），环保等级达到E1级（甲醛释放量≤0.124mg/m³），无甲醛异味，需提供由CMA认证机构出具的近6个月内环保检测报告（检测项目包含甲醛释放量、TVOC等）；表面覆环保三聚氰胺浸渍胶膜纸，具备防潮、耐磨性能；  </w:t>
      </w:r>
    </w:p>
    <w:p w14:paraId="6CFC69EA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护栏：高度不小于300mm，间距不大于120mm（防止学生身体卡入），采用φ32mm×1.0mm圆管制作，与床架通过焊接+螺栓双重连接，承受力不低于50kg（加载测试持续1小时无永久变形），所有棱角经圆角打磨处理（半径≥2mm），无尖锐棱角；  </w:t>
      </w:r>
    </w:p>
    <w:p w14:paraId="6886999C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梯子：采用防滑踏步设计，踏板宽度不小于150mm、厚度≥2.0mm，表面冲压菱形防滑纹路（深度≥1.5mm），材质为冷轧钢板，与床架采用二氧化碳气体保护焊焊接（焊脚高度≥3mm，焊缝长度≥80%连接长度），焊接后经打磨抛光，无松动现象（动态承重测试≥150kg无异常声响）；  </w:t>
      </w:r>
    </w:p>
    <w:p w14:paraId="7282AF9A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5. 尺寸要求：床体长度2000mm×宽度900mm×高度1800mm（允许±5mm误差），其中床架立柱截面尺寸50×50mm，床板支撑横梁间距≤300mm，安装后整体水平偏差≤2mm/m，具体以现场实测尺寸为准（投标人需在投标前自行踏勘现场确认尺寸）。  </w:t>
      </w:r>
    </w:p>
    <w:p w14:paraId="635A8D13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（二）质量标准  </w:t>
      </w:r>
    </w:p>
    <w:p w14:paraId="4F4BE318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符合《家具通用技术条件》（GB/T 3324-2017）、《金属家具通用技术条件》（GB/T 3325-2017）及《室内装饰装修材料 木家具中有害物质限量》（GB 18584-2008）等国家相关行业标准；  </w:t>
      </w:r>
    </w:p>
    <w:p w14:paraId="1B8BEDB0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产品需通过出厂前全检（提供每批次产品检测报告），无变形、开裂、脱漆等质量缺陷；安装后整体稳固（晃动量≤2mm），床架静载测试≥200kg（持续1小时无变形），床板冲击测试用50kg沙袋从1m高度落下，无裂纹；  </w:t>
      </w:r>
    </w:p>
    <w:p w14:paraId="0C23F209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所有金属部件焊接牢固，焊缝平整（表面粗糙度Ra≤6.3μm），无虚焊、漏焊现象（焊接后需进行100%探伤检测，提供检测记录）；  </w:t>
      </w:r>
    </w:p>
    <w:p w14:paraId="1B151BAC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表面涂层均匀光滑（厚度偏差≤10%），无流挂、气泡、划痕等瑕疵，附着力达到GB/T 9286-1998中的2级（划格法测试无脱落），耐冲击性≥40cm（冲击后无裂纹、剥落），颜色采用RAL 7035浅灰色（需提供色板供招标人确认）。  </w:t>
      </w:r>
    </w:p>
    <w:p w14:paraId="6D4450F9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（三）售后服务要求  </w:t>
      </w:r>
    </w:p>
    <w:p w14:paraId="3D2F6BDE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提供不少于5年的免费质保期（自验收合格之日起计算），质保范围包括非人为损坏的结构件、连接件、涂层、床板等所有组件；质保期内每半年提供1次上门巡检服务（紧固连接件、检查涂层状况等）；  </w:t>
      </w:r>
    </w:p>
    <w:p w14:paraId="4CB59227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质保期内免费维修或更换损坏部件（包括零部件材料费、人工费、差旅费等），接到维修通知后通过电话、邮件、在线客服多渠道24小时内响应，48小时内到达现场解决问题；紧急故障（如床架断裂等影响安全使用情形）2小时内响应，24小时内解决；  </w:t>
      </w:r>
    </w:p>
    <w:p w14:paraId="34EA5CAC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质保期外提供终身维护服务，仅收取成本费用（零部件按采购价+5%管理费，人工差旅费按实际发生额计算，明码标价），建立详细售后服务档案（包含产品型号、安装日期、历次维修记录、客户反馈等），每年回访1次了解产品使用情况。  </w:t>
      </w:r>
    </w:p>
    <w:p w14:paraId="5BD3118F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三、投标文件组成  </w:t>
      </w:r>
    </w:p>
    <w:p w14:paraId="2C6C4EE5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投标函（格式自拟，需明确响应本项目所有要求，包含投标有效期声明、对招标文件的完全响应承诺及法定代表人签字盖章）；  </w:t>
      </w:r>
    </w:p>
    <w:p w14:paraId="7113C205">
      <w:pPr>
        <w:ind w:firstLine="280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2. 法定代表人身份证明及授权委托书（格式详见附件1）；  </w:t>
      </w:r>
    </w:p>
    <w:p w14:paraId="01F456F3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资格审查资料（含营业执照副本复印件加盖公章、单位信用报告、家具生产许可证等相关材料）；  </w:t>
      </w:r>
    </w:p>
    <w:p w14:paraId="43F1E312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技术响应文件（含产品参数偏离表（逐项对照技术要求填写，无偏离需注明“完全响应”）、质量承诺（包含原材料质量、生产工艺、检测标准等）、详细生产工艺流程（附流程图及关键工序说明）、主要生产设备清单及照片等）；  </w:t>
      </w:r>
    </w:p>
    <w:p w14:paraId="6EEF7E66">
      <w:pPr>
        <w:ind w:firstLine="280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5. 报价表（格式详见附件2）；  </w:t>
      </w:r>
    </w:p>
    <w:p w14:paraId="11002E29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6. 售后服务方案（含质保承诺细则、24小时维修响应流程、应急处理预案等）；  </w:t>
      </w:r>
    </w:p>
    <w:p w14:paraId="611A104A">
      <w:pPr>
        <w:ind w:firstLine="280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7. 投标人认为需补充提供的其他资料。  </w:t>
      </w:r>
    </w:p>
    <w:p w14:paraId="51849EBD">
      <w:pPr>
        <w:ind w:firstLine="281" w:firstLineChars="100"/>
        <w:rPr>
          <w:rFonts w:hint="eastAsia" w:eastAsiaTheme="minorEastAsia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四、报价要求  </w:t>
      </w:r>
    </w:p>
    <w:p w14:paraId="7C04E457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报价包含产品生产（原材料采购、加工制造）、运输（含保险、装卸）、安装（含辅材、人工）、调试（含验收前检测）、税费（增值税专用发票）、售后服务（5年质保期内所有费用）等所有相关费用，为固定总价；  </w:t>
      </w:r>
    </w:p>
    <w:p w14:paraId="25D3A97E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报价有效期：自开标之日起90天内有效，有效期内报价不得调整（投标人不得撤回投标或修改报价）；若因特殊情况需延长有效期，投标人需在有效期届满前7天书面通知招标人，最长可延长30天；  </w:t>
      </w:r>
    </w:p>
    <w:p w14:paraId="1490234D">
      <w:pPr>
        <w:ind w:firstLine="280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3. 投标保证金：本项目无需缴纳投标保证金。  </w:t>
      </w:r>
    </w:p>
    <w:p w14:paraId="68C64E55">
      <w:pPr>
        <w:ind w:firstLine="281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五、评标方法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</w:p>
    <w:p w14:paraId="7880A8D0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本次招标采用最低价中标法，评标委员会按以下流程评审：  </w:t>
      </w:r>
    </w:p>
    <w:p w14:paraId="46BAC6CF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资格审查：对照投标人资格要求，审查营业执照年检情况、经营范围匹配度、生产设备清单真实性、技术人员资质有效性、无重大违法记录声明等资格证明文件，任一项不符合要求的投标文件视为无效投标；  </w:t>
      </w:r>
    </w:p>
    <w:p w14:paraId="6FD34732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技术实质性响应审查：对照“技术要求”核心参数及质量标准，采用量化评分（参数偏离项不得超过3项，每项偏离扣2分，总分低于80分视为实质性偏离），存在实质性偏离的投标文件视为无效投标；  </w:t>
      </w:r>
    </w:p>
    <w:p w14:paraId="16E3697E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报价审查：审查报价是否超出预算限价、构成是否完整（需包含所有费用明细）、是否按要求填写报价表，任一项不符合要求的投标文件视为无效投标；  </w:t>
      </w:r>
    </w:p>
    <w:p w14:paraId="104D8DCB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确定中标候选人：在有效投标文件中，投标报价最低的为第一中标候选人；若最低报价相同，由评标委员会组织投标人代表通过电子抽签系统随机抽签确定排序。  </w:t>
      </w:r>
    </w:p>
    <w:p w14:paraId="310389E1">
      <w:pPr>
        <w:ind w:firstLine="281" w:firstLineChars="100"/>
        <w:rPr>
          <w:rFonts w:hint="eastAsia" w:eastAsiaTheme="minorEastAsia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六、合同主要条款  </w:t>
      </w:r>
    </w:p>
    <w:p w14:paraId="11A1218C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付款方式：货到现场并完成安装调试后，招标人在7个工作日内组织初验；初验合格后进入30天试运行期，试运行期间无质量问题的，双方签署《最终验收报告》；投标人需在验收合格后10日内向招标人开具全额增值税专用发票；招标人在收到发票及验收报告后30日内，通过银行转账方式一次性付清全部合同款项至投标人指定对公账户。  </w:t>
      </w:r>
    </w:p>
    <w:p w14:paraId="50E51BF6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验收标准：按招标文件技术要求、《家具通用技术条件》（GB/T 3325-2024）及合同约定执行，分三阶段验收：①到货验收（核对产品数量、规格型号、外观质量及随附文件完整性）；②安装验收（检查安装牢固度、尺寸偏差、安全性能等）；③功能验收（进行静载测试、冲击测试等性能验证）。验收时投标人需提供产品合格证、第三方检测报告、安装调试记录等文件。验收不合格的，投标人需在15日内完成整改，整改费用由投标人自行承担，逾期未达标视为违约。  </w:t>
      </w:r>
    </w:p>
    <w:p w14:paraId="487CB798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违约责任：①逾期交货：每逾期一天按合同总价的0.5%支付违约金，违约金累计不超过合同总价的5%；逾期超过15天的，招标人有权解除合同，投标人需返还已付款项并赔偿招标人直接损失（含另行采购的差价损失）。②质量不合格：产品经2次整改仍不符合验收标准的，招标人有权解除合同，投标人需按合同总价的10%支付违约金，并承担由此产生的拆卸、清运费用。  </w:t>
      </w:r>
    </w:p>
    <w:p w14:paraId="368C0F94">
      <w:pPr>
        <w:ind w:firstLine="280" w:firstLineChars="1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争议解决：双方因合同履行发生争议的，应首先通过友好协商解决（协商期限为15日）；协商不成的，任何一方均有权向淮南市仲裁委员会申请仲裁，仲裁裁决为终局裁决（仲裁费用由败诉方承担，除非仲裁裁决另有规定）。  </w:t>
      </w:r>
    </w:p>
    <w:p w14:paraId="559BA7C5">
      <w:pPr>
        <w:ind w:firstLine="280" w:firstLineChars="1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（注：本招标公告自发布之日起生效，有效期至开标结束；未尽事宜由万博科技职业学院后勤保障处负责解释，公告内容以学院官网发布版本为准。）</w:t>
      </w:r>
    </w:p>
    <w:p w14:paraId="663673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1627D"/>
    <w:rsid w:val="2141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2026-01-29T11:48:00Z</dcterms:created>
  <dc:creator>李牧之</dc:creator>
  <cp:lastModifiedBy>李牧之</cp:lastModifiedBy>
  <dcterms:modified xsi:type="dcterms:W3CDTF">2026-01-29T11:49:00Z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3B68376A65AD4FA984209B070E2AC687_11</vt:lpwstr>
  </property>
  <property fmtid="{D5CDD505-2E9C-101B-9397-08002B2CF9AE}" pid="4" name="KSOTemplateDocerSaveRecord">
    <vt:lpwstr>eyJoZGlkIjoiMGQ2Y2UyNmYzY2I4OTc2ZDEzZmRjZmNkYWQxODRkMTAiLCJ1c2VySWQiOiIxMzY1MTg3MTIifQ==</vt:lpwstr>
  </property>
</Properties>
</file>